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2-Accent1"/>
        <w:tblpPr w:leftFromText="180" w:rightFromText="180" w:vertAnchor="page" w:horzAnchor="margin" w:tblpXSpec="center" w:tblpY="2326"/>
        <w:tblW w:w="10748" w:type="dxa"/>
        <w:tblLook w:val="04A0" w:firstRow="1" w:lastRow="0" w:firstColumn="1" w:lastColumn="0" w:noHBand="0" w:noVBand="1"/>
      </w:tblPr>
      <w:tblGrid>
        <w:gridCol w:w="2001"/>
        <w:gridCol w:w="1895"/>
        <w:gridCol w:w="1500"/>
        <w:gridCol w:w="1243"/>
        <w:gridCol w:w="1136"/>
        <w:gridCol w:w="1651"/>
        <w:gridCol w:w="1322"/>
      </w:tblGrid>
      <w:tr w:rsidR="00ED0DCF" w14:paraId="068BF2E5" w14:textId="77777777" w:rsidTr="003F5B9D">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2001" w:type="dxa"/>
          </w:tcPr>
          <w:p w14:paraId="69B74419" w14:textId="77777777" w:rsidR="00ED0DCF" w:rsidRPr="0094183C" w:rsidRDefault="00ED0DCF" w:rsidP="003F5B9D">
            <w:pPr>
              <w:jc w:val="center"/>
            </w:pPr>
            <w:r w:rsidRPr="0094183C">
              <w:t>Modality</w:t>
            </w:r>
          </w:p>
        </w:tc>
        <w:tc>
          <w:tcPr>
            <w:tcW w:w="1895" w:type="dxa"/>
          </w:tcPr>
          <w:p w14:paraId="36BC5205" w14:textId="77777777" w:rsidR="00ED0DCF" w:rsidRPr="0094183C" w:rsidRDefault="00ED0DCF" w:rsidP="003F5B9D">
            <w:pPr>
              <w:jc w:val="center"/>
              <w:cnfStyle w:val="100000000000" w:firstRow="1" w:lastRow="0" w:firstColumn="0" w:lastColumn="0" w:oddVBand="0" w:evenVBand="0" w:oddHBand="0" w:evenHBand="0" w:firstRowFirstColumn="0" w:firstRowLastColumn="0" w:lastRowFirstColumn="0" w:lastRowLastColumn="0"/>
            </w:pPr>
            <w:r w:rsidRPr="0094183C">
              <w:t>Outcome</w:t>
            </w:r>
          </w:p>
        </w:tc>
        <w:tc>
          <w:tcPr>
            <w:tcW w:w="1500" w:type="dxa"/>
          </w:tcPr>
          <w:p w14:paraId="71A34E13" w14:textId="77777777" w:rsidR="00ED0DCF" w:rsidRPr="0094183C" w:rsidRDefault="00ED0DCF" w:rsidP="003F5B9D">
            <w:pPr>
              <w:jc w:val="center"/>
              <w:cnfStyle w:val="100000000000" w:firstRow="1" w:lastRow="0" w:firstColumn="0" w:lastColumn="0" w:oddVBand="0" w:evenVBand="0" w:oddHBand="0" w:evenHBand="0" w:firstRowFirstColumn="0" w:firstRowLastColumn="0" w:lastRowFirstColumn="0" w:lastRowLastColumn="0"/>
            </w:pPr>
            <w:r w:rsidRPr="0094183C">
              <w:t>Load</w:t>
            </w:r>
          </w:p>
        </w:tc>
        <w:tc>
          <w:tcPr>
            <w:tcW w:w="1243" w:type="dxa"/>
          </w:tcPr>
          <w:p w14:paraId="20F71AF4" w14:textId="77777777" w:rsidR="00ED0DCF" w:rsidRPr="0094183C" w:rsidRDefault="00ED0DCF" w:rsidP="003F5B9D">
            <w:pPr>
              <w:jc w:val="center"/>
              <w:cnfStyle w:val="100000000000" w:firstRow="1" w:lastRow="0" w:firstColumn="0" w:lastColumn="0" w:oddVBand="0" w:evenVBand="0" w:oddHBand="0" w:evenHBand="0" w:firstRowFirstColumn="0" w:firstRowLastColumn="0" w:lastRowFirstColumn="0" w:lastRowLastColumn="0"/>
            </w:pPr>
            <w:r w:rsidRPr="0094183C">
              <w:t>Reps</w:t>
            </w:r>
          </w:p>
        </w:tc>
        <w:tc>
          <w:tcPr>
            <w:tcW w:w="1136" w:type="dxa"/>
          </w:tcPr>
          <w:p w14:paraId="42D1B36B" w14:textId="77777777" w:rsidR="00ED0DCF" w:rsidRPr="0094183C" w:rsidRDefault="00ED0DCF" w:rsidP="003F5B9D">
            <w:pPr>
              <w:jc w:val="center"/>
              <w:cnfStyle w:val="100000000000" w:firstRow="1" w:lastRow="0" w:firstColumn="0" w:lastColumn="0" w:oddVBand="0" w:evenVBand="0" w:oddHBand="0" w:evenHBand="0" w:firstRowFirstColumn="0" w:firstRowLastColumn="0" w:lastRowFirstColumn="0" w:lastRowLastColumn="0"/>
            </w:pPr>
            <w:r w:rsidRPr="0094183C">
              <w:t>Sets</w:t>
            </w:r>
          </w:p>
        </w:tc>
        <w:tc>
          <w:tcPr>
            <w:tcW w:w="1651" w:type="dxa"/>
          </w:tcPr>
          <w:p w14:paraId="01DCF33B" w14:textId="77777777" w:rsidR="00ED0DCF" w:rsidRPr="0094183C" w:rsidRDefault="00ED0DCF" w:rsidP="003F5B9D">
            <w:pPr>
              <w:jc w:val="center"/>
              <w:cnfStyle w:val="100000000000" w:firstRow="1" w:lastRow="0" w:firstColumn="0" w:lastColumn="0" w:oddVBand="0" w:evenVBand="0" w:oddHBand="0" w:evenHBand="0" w:firstRowFirstColumn="0" w:firstRowLastColumn="0" w:lastRowFirstColumn="0" w:lastRowLastColumn="0"/>
            </w:pPr>
            <w:r>
              <w:t>Rest</w:t>
            </w:r>
          </w:p>
        </w:tc>
        <w:tc>
          <w:tcPr>
            <w:tcW w:w="1322" w:type="dxa"/>
          </w:tcPr>
          <w:p w14:paraId="146BCC5E" w14:textId="171F4656" w:rsidR="00ED0DCF" w:rsidRDefault="00ED0DCF" w:rsidP="003F5B9D">
            <w:pPr>
              <w:jc w:val="center"/>
              <w:cnfStyle w:val="100000000000" w:firstRow="1" w:lastRow="0" w:firstColumn="0" w:lastColumn="0" w:oddVBand="0" w:evenVBand="0" w:oddHBand="0" w:evenHBand="0" w:firstRowFirstColumn="0" w:firstRowLastColumn="0" w:lastRowFirstColumn="0" w:lastRowLastColumn="0"/>
            </w:pPr>
            <w:r>
              <w:t>Pre</w:t>
            </w:r>
            <w:r w:rsidR="007159AA">
              <w:t>-</w:t>
            </w:r>
            <w:proofErr w:type="spellStart"/>
            <w:r>
              <w:t>req</w:t>
            </w:r>
            <w:proofErr w:type="spellEnd"/>
          </w:p>
        </w:tc>
      </w:tr>
      <w:tr w:rsidR="00ED0DCF" w14:paraId="290467F5" w14:textId="77777777" w:rsidTr="003F5B9D">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001" w:type="dxa"/>
            <w:vAlign w:val="center"/>
          </w:tcPr>
          <w:p w14:paraId="41F1DCE9" w14:textId="77777777" w:rsidR="00ED0DCF" w:rsidRDefault="00ED0DCF" w:rsidP="003F5B9D">
            <w:pPr>
              <w:jc w:val="center"/>
            </w:pPr>
            <w:r>
              <w:t>Explosive Strength</w:t>
            </w:r>
          </w:p>
        </w:tc>
        <w:tc>
          <w:tcPr>
            <w:tcW w:w="1895" w:type="dxa"/>
            <w:vAlign w:val="center"/>
          </w:tcPr>
          <w:p w14:paraId="76B4A671"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Increase velocity/ Power Development</w:t>
            </w:r>
          </w:p>
          <w:p w14:paraId="0B62280D"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p>
        </w:tc>
        <w:tc>
          <w:tcPr>
            <w:tcW w:w="1500" w:type="dxa"/>
            <w:vAlign w:val="center"/>
          </w:tcPr>
          <w:p w14:paraId="4FA73CE2"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Low-Moderate</w:t>
            </w:r>
          </w:p>
        </w:tc>
        <w:tc>
          <w:tcPr>
            <w:tcW w:w="1243" w:type="dxa"/>
            <w:vAlign w:val="center"/>
          </w:tcPr>
          <w:p w14:paraId="5DD792DA"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3-6</w:t>
            </w:r>
          </w:p>
        </w:tc>
        <w:tc>
          <w:tcPr>
            <w:tcW w:w="1136" w:type="dxa"/>
            <w:vAlign w:val="center"/>
          </w:tcPr>
          <w:p w14:paraId="32298C7D"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3-5</w:t>
            </w:r>
          </w:p>
        </w:tc>
        <w:tc>
          <w:tcPr>
            <w:tcW w:w="1651" w:type="dxa"/>
            <w:vAlign w:val="center"/>
          </w:tcPr>
          <w:p w14:paraId="7EFF6256"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3+ Mins (Complete)</w:t>
            </w:r>
          </w:p>
        </w:tc>
        <w:tc>
          <w:tcPr>
            <w:tcW w:w="1322" w:type="dxa"/>
          </w:tcPr>
          <w:p w14:paraId="266C6FA9"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High levels of Strength</w:t>
            </w:r>
          </w:p>
        </w:tc>
      </w:tr>
      <w:tr w:rsidR="00ED0DCF" w14:paraId="1684DE42" w14:textId="77777777" w:rsidTr="003F5B9D">
        <w:trPr>
          <w:trHeight w:val="1783"/>
        </w:trPr>
        <w:tc>
          <w:tcPr>
            <w:cnfStyle w:val="001000000000" w:firstRow="0" w:lastRow="0" w:firstColumn="1" w:lastColumn="0" w:oddVBand="0" w:evenVBand="0" w:oddHBand="0" w:evenHBand="0" w:firstRowFirstColumn="0" w:firstRowLastColumn="0" w:lastRowFirstColumn="0" w:lastRowLastColumn="0"/>
            <w:tcW w:w="2001" w:type="dxa"/>
            <w:vAlign w:val="center"/>
          </w:tcPr>
          <w:p w14:paraId="2914F95F" w14:textId="77777777" w:rsidR="00ED0DCF" w:rsidRDefault="00ED0DCF" w:rsidP="003F5B9D">
            <w:pPr>
              <w:jc w:val="center"/>
            </w:pPr>
            <w:r>
              <w:t>Strength</w:t>
            </w:r>
          </w:p>
        </w:tc>
        <w:tc>
          <w:tcPr>
            <w:tcW w:w="1895" w:type="dxa"/>
            <w:vAlign w:val="center"/>
          </w:tcPr>
          <w:p w14:paraId="24AF8369"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Increase Force Development</w:t>
            </w:r>
          </w:p>
          <w:p w14:paraId="7C511B13"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p>
        </w:tc>
        <w:tc>
          <w:tcPr>
            <w:tcW w:w="1500" w:type="dxa"/>
            <w:vAlign w:val="center"/>
          </w:tcPr>
          <w:p w14:paraId="4E889021"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Heavy</w:t>
            </w:r>
          </w:p>
          <w:p w14:paraId="680E0EF0"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&lt;85% 1Rm</w:t>
            </w:r>
          </w:p>
        </w:tc>
        <w:tc>
          <w:tcPr>
            <w:tcW w:w="1243" w:type="dxa"/>
            <w:vAlign w:val="center"/>
          </w:tcPr>
          <w:p w14:paraId="7E5FFBEE"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1-6</w:t>
            </w:r>
          </w:p>
        </w:tc>
        <w:tc>
          <w:tcPr>
            <w:tcW w:w="1136" w:type="dxa"/>
            <w:vAlign w:val="center"/>
          </w:tcPr>
          <w:p w14:paraId="4350C522"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3-8</w:t>
            </w:r>
          </w:p>
        </w:tc>
        <w:tc>
          <w:tcPr>
            <w:tcW w:w="1651" w:type="dxa"/>
            <w:vAlign w:val="center"/>
          </w:tcPr>
          <w:p w14:paraId="0CA783F1"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2+ Mins</w:t>
            </w:r>
          </w:p>
        </w:tc>
        <w:tc>
          <w:tcPr>
            <w:tcW w:w="1322" w:type="dxa"/>
          </w:tcPr>
          <w:p w14:paraId="117D7F2F"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Minimum 2years Training and Capacity Level High</w:t>
            </w:r>
          </w:p>
        </w:tc>
      </w:tr>
      <w:tr w:rsidR="00ED0DCF" w14:paraId="3D4A31DC" w14:textId="77777777" w:rsidTr="003F5B9D">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001" w:type="dxa"/>
            <w:vAlign w:val="center"/>
          </w:tcPr>
          <w:p w14:paraId="024F3597" w14:textId="77777777" w:rsidR="00ED0DCF" w:rsidRDefault="00ED0DCF" w:rsidP="003F5B9D">
            <w:pPr>
              <w:jc w:val="center"/>
            </w:pPr>
            <w:r>
              <w:t>Functional Hypertrophy</w:t>
            </w:r>
          </w:p>
        </w:tc>
        <w:tc>
          <w:tcPr>
            <w:tcW w:w="1895" w:type="dxa"/>
            <w:vAlign w:val="center"/>
          </w:tcPr>
          <w:p w14:paraId="33C78A65"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Increase Muscle Cross Sectional Area</w:t>
            </w:r>
          </w:p>
          <w:p w14:paraId="09150270"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p>
        </w:tc>
        <w:tc>
          <w:tcPr>
            <w:tcW w:w="1500" w:type="dxa"/>
            <w:vAlign w:val="center"/>
          </w:tcPr>
          <w:p w14:paraId="060B4095"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Moderate</w:t>
            </w:r>
          </w:p>
          <w:p w14:paraId="78B948F3"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70-85% 1RM</w:t>
            </w:r>
          </w:p>
        </w:tc>
        <w:tc>
          <w:tcPr>
            <w:tcW w:w="1243" w:type="dxa"/>
            <w:vAlign w:val="center"/>
          </w:tcPr>
          <w:p w14:paraId="773094A6"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6-20+</w:t>
            </w:r>
          </w:p>
        </w:tc>
        <w:tc>
          <w:tcPr>
            <w:tcW w:w="1136" w:type="dxa"/>
            <w:vAlign w:val="center"/>
          </w:tcPr>
          <w:p w14:paraId="1DC3A69B"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3-6</w:t>
            </w:r>
          </w:p>
        </w:tc>
        <w:tc>
          <w:tcPr>
            <w:tcW w:w="1651" w:type="dxa"/>
            <w:vAlign w:val="center"/>
          </w:tcPr>
          <w:p w14:paraId="75DB5D59" w14:textId="77777777" w:rsidR="00ED0DCF" w:rsidRDefault="00ED0DCF" w:rsidP="003F5B9D">
            <w:pPr>
              <w:jc w:val="center"/>
              <w:cnfStyle w:val="000000100000" w:firstRow="0" w:lastRow="0" w:firstColumn="0" w:lastColumn="0" w:oddVBand="0" w:evenVBand="0" w:oddHBand="1" w:evenHBand="0" w:firstRowFirstColumn="0" w:firstRowLastColumn="0" w:lastRowFirstColumn="0" w:lastRowLastColumn="0"/>
            </w:pPr>
            <w:r>
              <w:t>90s-120s</w:t>
            </w:r>
          </w:p>
        </w:tc>
        <w:tc>
          <w:tcPr>
            <w:tcW w:w="1322" w:type="dxa"/>
          </w:tcPr>
          <w:p w14:paraId="7B9925C0" w14:textId="77777777" w:rsidR="00ED0DCF" w:rsidRDefault="00ED0DCF" w:rsidP="003F5B9D">
            <w:pPr>
              <w:cnfStyle w:val="000000100000" w:firstRow="0" w:lastRow="0" w:firstColumn="0" w:lastColumn="0" w:oddVBand="0" w:evenVBand="0" w:oddHBand="1" w:evenHBand="0" w:firstRowFirstColumn="0" w:firstRowLastColumn="0" w:lastRowFirstColumn="0" w:lastRowLastColumn="0"/>
            </w:pPr>
          </w:p>
        </w:tc>
      </w:tr>
      <w:tr w:rsidR="00ED0DCF" w14:paraId="28BEEF7E" w14:textId="77777777" w:rsidTr="003F5B9D">
        <w:trPr>
          <w:trHeight w:val="1016"/>
        </w:trPr>
        <w:tc>
          <w:tcPr>
            <w:cnfStyle w:val="001000000000" w:firstRow="0" w:lastRow="0" w:firstColumn="1" w:lastColumn="0" w:oddVBand="0" w:evenVBand="0" w:oddHBand="0" w:evenHBand="0" w:firstRowFirstColumn="0" w:firstRowLastColumn="0" w:lastRowFirstColumn="0" w:lastRowLastColumn="0"/>
            <w:tcW w:w="2001" w:type="dxa"/>
            <w:vAlign w:val="center"/>
          </w:tcPr>
          <w:p w14:paraId="6267892E" w14:textId="77777777" w:rsidR="00ED0DCF" w:rsidRDefault="00ED0DCF" w:rsidP="003F5B9D">
            <w:pPr>
              <w:jc w:val="center"/>
            </w:pPr>
            <w:r>
              <w:t>Tissue Robustness</w:t>
            </w:r>
          </w:p>
        </w:tc>
        <w:tc>
          <w:tcPr>
            <w:tcW w:w="1895" w:type="dxa"/>
            <w:vAlign w:val="center"/>
          </w:tcPr>
          <w:p w14:paraId="390695C2"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Tissue Tolerance/ Capacity</w:t>
            </w:r>
          </w:p>
          <w:p w14:paraId="4CAC0A78"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p>
        </w:tc>
        <w:tc>
          <w:tcPr>
            <w:tcW w:w="1500" w:type="dxa"/>
            <w:vAlign w:val="center"/>
          </w:tcPr>
          <w:p w14:paraId="7F1A7302"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Low</w:t>
            </w:r>
          </w:p>
        </w:tc>
        <w:tc>
          <w:tcPr>
            <w:tcW w:w="1243" w:type="dxa"/>
            <w:vAlign w:val="center"/>
          </w:tcPr>
          <w:p w14:paraId="34BB16A1"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15+ or Timed 30s+</w:t>
            </w:r>
          </w:p>
        </w:tc>
        <w:tc>
          <w:tcPr>
            <w:tcW w:w="1136" w:type="dxa"/>
            <w:vAlign w:val="center"/>
          </w:tcPr>
          <w:p w14:paraId="085FDE8E"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3-6</w:t>
            </w:r>
          </w:p>
        </w:tc>
        <w:tc>
          <w:tcPr>
            <w:tcW w:w="1651" w:type="dxa"/>
            <w:vAlign w:val="center"/>
          </w:tcPr>
          <w:p w14:paraId="60E9ACAD"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r>
              <w:t>Minimal</w:t>
            </w:r>
          </w:p>
        </w:tc>
        <w:tc>
          <w:tcPr>
            <w:tcW w:w="1322" w:type="dxa"/>
          </w:tcPr>
          <w:p w14:paraId="7F92406F" w14:textId="77777777" w:rsidR="00ED0DCF" w:rsidRDefault="00ED0DCF" w:rsidP="003F5B9D">
            <w:pPr>
              <w:jc w:val="center"/>
              <w:cnfStyle w:val="000000000000" w:firstRow="0" w:lastRow="0" w:firstColumn="0" w:lastColumn="0" w:oddVBand="0" w:evenVBand="0" w:oddHBand="0" w:evenHBand="0" w:firstRowFirstColumn="0" w:firstRowLastColumn="0" w:lastRowFirstColumn="0" w:lastRowLastColumn="0"/>
            </w:pPr>
          </w:p>
        </w:tc>
      </w:tr>
    </w:tbl>
    <w:p w14:paraId="273EF42F" w14:textId="77777777" w:rsidR="00ED0DCF" w:rsidRDefault="00ED0DCF" w:rsidP="00ED0DCF">
      <w:pPr>
        <w:jc w:val="both"/>
        <w:rPr>
          <w:rFonts w:ascii="Verdana" w:hAnsi="Verdana"/>
          <w:b/>
          <w:sz w:val="20"/>
        </w:rPr>
      </w:pPr>
    </w:p>
    <w:p w14:paraId="352A870B" w14:textId="77777777" w:rsidR="00ED0DCF" w:rsidRDefault="00ED0DCF" w:rsidP="00ED0DCF">
      <w:pPr>
        <w:jc w:val="both"/>
        <w:rPr>
          <w:rFonts w:ascii="Verdana" w:hAnsi="Verdana"/>
          <w:b/>
          <w:sz w:val="20"/>
        </w:rPr>
      </w:pPr>
      <w:bookmarkStart w:id="0" w:name="_GoBack"/>
      <w:bookmarkEnd w:id="0"/>
    </w:p>
    <w:p w14:paraId="3B8B6DEA" w14:textId="77777777" w:rsidR="00ED0DCF" w:rsidRDefault="00ED0DCF" w:rsidP="00ED0DCF">
      <w:pPr>
        <w:jc w:val="both"/>
        <w:rPr>
          <w:rFonts w:ascii="Verdana" w:hAnsi="Verdana"/>
          <w:b/>
          <w:sz w:val="20"/>
        </w:rPr>
      </w:pPr>
    </w:p>
    <w:p w14:paraId="6F047755" w14:textId="77777777" w:rsidR="00ED0DCF" w:rsidRDefault="00ED0DCF" w:rsidP="00ED0DCF">
      <w:pPr>
        <w:jc w:val="both"/>
        <w:rPr>
          <w:rFonts w:ascii="Verdana" w:hAnsi="Verdana"/>
          <w:b/>
          <w:sz w:val="20"/>
        </w:rPr>
      </w:pPr>
    </w:p>
    <w:p w14:paraId="68611AD2" w14:textId="77777777" w:rsidR="00ED0DCF" w:rsidRPr="000C6C1C" w:rsidRDefault="00ED0DCF" w:rsidP="00ED0DCF">
      <w:pPr>
        <w:jc w:val="both"/>
        <w:rPr>
          <w:rFonts w:ascii="Verdana" w:hAnsi="Verdana"/>
          <w:b/>
          <w:sz w:val="20"/>
        </w:rPr>
      </w:pPr>
      <w:r w:rsidRPr="000C6C1C">
        <w:rPr>
          <w:rFonts w:ascii="Verdana" w:hAnsi="Verdana"/>
          <w:b/>
          <w:sz w:val="20"/>
        </w:rPr>
        <w:t>Maximum strength</w:t>
      </w:r>
    </w:p>
    <w:p w14:paraId="704EE6AB" w14:textId="77777777" w:rsidR="00ED0DCF" w:rsidRPr="000C6C1C" w:rsidRDefault="00ED0DCF" w:rsidP="00ED0DCF">
      <w:pPr>
        <w:jc w:val="both"/>
        <w:rPr>
          <w:rFonts w:ascii="Verdana" w:hAnsi="Verdana"/>
          <w:sz w:val="20"/>
        </w:rPr>
      </w:pPr>
      <w:r w:rsidRPr="000C6C1C">
        <w:rPr>
          <w:rFonts w:ascii="Verdana" w:hAnsi="Verdana"/>
          <w:sz w:val="20"/>
        </w:rPr>
        <w:t xml:space="preserve">Defined as the expression of maximum force. Strength training induces neural changes and muscular coordination patterns. Whereby, the efficiency of the nervous system to coordinate the musculature is enhanced. Categorized by lower volumes of work at a high percentage of max (85%+) with full rest. </w:t>
      </w:r>
    </w:p>
    <w:p w14:paraId="1DF41C0B" w14:textId="77777777" w:rsidR="00ED0DCF" w:rsidRDefault="00ED0DCF" w:rsidP="00ED0DCF">
      <w:pPr>
        <w:jc w:val="both"/>
        <w:rPr>
          <w:rFonts w:ascii="Verdana" w:hAnsi="Verdana"/>
          <w:b/>
          <w:sz w:val="20"/>
        </w:rPr>
      </w:pPr>
    </w:p>
    <w:p w14:paraId="38E49775" w14:textId="77777777" w:rsidR="00ED0DCF" w:rsidRPr="000C6C1C" w:rsidRDefault="00ED0DCF" w:rsidP="00ED0DCF">
      <w:pPr>
        <w:jc w:val="both"/>
        <w:rPr>
          <w:rFonts w:ascii="Verdana" w:hAnsi="Verdana"/>
          <w:b/>
          <w:sz w:val="20"/>
        </w:rPr>
      </w:pPr>
      <w:r w:rsidRPr="000C6C1C">
        <w:rPr>
          <w:rFonts w:ascii="Verdana" w:hAnsi="Verdana"/>
          <w:b/>
          <w:sz w:val="20"/>
        </w:rPr>
        <w:t xml:space="preserve">Hypertrophy </w:t>
      </w:r>
    </w:p>
    <w:p w14:paraId="34932597" w14:textId="77777777" w:rsidR="00ED0DCF" w:rsidRPr="000C6C1C" w:rsidRDefault="00ED0DCF" w:rsidP="00ED0DCF">
      <w:pPr>
        <w:jc w:val="both"/>
        <w:rPr>
          <w:rFonts w:ascii="Verdana" w:hAnsi="Verdana"/>
          <w:sz w:val="20"/>
        </w:rPr>
      </w:pPr>
      <w:r w:rsidRPr="000C6C1C">
        <w:rPr>
          <w:rFonts w:ascii="Verdana" w:hAnsi="Verdana"/>
          <w:sz w:val="20"/>
        </w:rPr>
        <w:t xml:space="preserve">Term to describe an increase in contractile elements of muscle. Precursor to strength training to increase muscle cross sectional area and therefore strength potential. It is the increase in sarcomeres (force producing machinery) in parallel that contribute to the increase in force potential. Hypertrophy is dictated by the manipulation of the three training variables to induce either metabolic stress, mechanical tension or muscle damage. Categorized by higher volumes of work at a lower percentage of max (50- 70%) with incomplete rest. </w:t>
      </w:r>
    </w:p>
    <w:p w14:paraId="0C15F3A4" w14:textId="77777777" w:rsidR="00ED0DCF" w:rsidRDefault="00ED0DCF" w:rsidP="00ED0DCF">
      <w:pPr>
        <w:jc w:val="both"/>
        <w:rPr>
          <w:rFonts w:ascii="Verdana" w:hAnsi="Verdana"/>
          <w:b/>
          <w:sz w:val="20"/>
        </w:rPr>
      </w:pPr>
    </w:p>
    <w:p w14:paraId="41308FA1" w14:textId="77777777" w:rsidR="00ED0DCF" w:rsidRPr="000C6C1C" w:rsidRDefault="00ED0DCF" w:rsidP="00ED0DCF">
      <w:pPr>
        <w:jc w:val="both"/>
        <w:rPr>
          <w:rFonts w:ascii="Verdana" w:hAnsi="Verdana"/>
          <w:b/>
          <w:sz w:val="20"/>
        </w:rPr>
      </w:pPr>
      <w:r w:rsidRPr="000C6C1C">
        <w:rPr>
          <w:rFonts w:ascii="Verdana" w:hAnsi="Verdana"/>
          <w:b/>
          <w:sz w:val="20"/>
        </w:rPr>
        <w:t>Tissue Robustness</w:t>
      </w:r>
    </w:p>
    <w:p w14:paraId="7F02DE0A" w14:textId="77777777" w:rsidR="00ED0DCF" w:rsidRPr="000C6C1C" w:rsidRDefault="00ED0DCF" w:rsidP="00ED0DCF">
      <w:pPr>
        <w:jc w:val="both"/>
        <w:rPr>
          <w:rFonts w:ascii="Verdana" w:hAnsi="Verdana"/>
          <w:sz w:val="20"/>
        </w:rPr>
      </w:pPr>
      <w:r w:rsidRPr="000C6C1C">
        <w:rPr>
          <w:rFonts w:ascii="Verdana" w:hAnsi="Verdana"/>
          <w:sz w:val="20"/>
        </w:rPr>
        <w:t>Low load, high volume work. Capacity based a prerequisite to strength training. Normally time based or high reps. Places high mechanical tension ton the muscle and tendon structures.</w:t>
      </w:r>
    </w:p>
    <w:p w14:paraId="6C498D8E" w14:textId="77777777" w:rsidR="004266A3" w:rsidRDefault="007159AA"/>
    <w:sectPr w:rsidR="004266A3" w:rsidSect="00AC19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CF"/>
    <w:rsid w:val="005C4C9A"/>
    <w:rsid w:val="007159AA"/>
    <w:rsid w:val="00816280"/>
    <w:rsid w:val="00837CFC"/>
    <w:rsid w:val="00AC19A1"/>
    <w:rsid w:val="00ED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EC1A"/>
  <w15:chartTrackingRefBased/>
  <w15:docId w15:val="{A0C39CA4-0838-384A-A75C-C470DAB3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DC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1">
    <w:name w:val="Medium Shading 2 Accent 1"/>
    <w:basedOn w:val="TableNormal"/>
    <w:uiPriority w:val="64"/>
    <w:rsid w:val="00ED0DC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Abbott</dc:creator>
  <cp:keywords/>
  <dc:description/>
  <cp:lastModifiedBy>Nathan Abbott</cp:lastModifiedBy>
  <cp:revision>2</cp:revision>
  <dcterms:created xsi:type="dcterms:W3CDTF">2018-11-12T12:05:00Z</dcterms:created>
  <dcterms:modified xsi:type="dcterms:W3CDTF">2018-11-12T12:06:00Z</dcterms:modified>
</cp:coreProperties>
</file>